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Times New Roman" w:hAnsi="Times New Roman" w:eastAsia="黑体"/>
          <w:sz w:val="32"/>
          <w:szCs w:val="32"/>
        </w:rPr>
      </w:pPr>
      <w:r>
        <w:rPr>
          <w:rFonts w:hint="eastAsia" w:ascii="Times New Roman" w:hAnsi="Times New Roman" w:eastAsia="黑体"/>
          <w:sz w:val="32"/>
          <w:szCs w:val="32"/>
        </w:rPr>
        <w:t>附件2</w:t>
      </w:r>
      <w:bookmarkStart w:id="0" w:name="_GoBack"/>
      <w:bookmarkEnd w:id="0"/>
    </w:p>
    <w:p>
      <w:pPr>
        <w:spacing w:line="600" w:lineRule="exact"/>
        <w:jc w:val="center"/>
        <w:outlineLvl w:val="1"/>
        <w:rPr>
          <w:rFonts w:hint="eastAsia" w:ascii="Times New Roman" w:hAnsi="Times New Roman" w:eastAsia="方正小标宋_GBK"/>
          <w:sz w:val="44"/>
          <w:szCs w:val="44"/>
        </w:rPr>
      </w:pPr>
    </w:p>
    <w:p>
      <w:pPr>
        <w:spacing w:line="600" w:lineRule="exact"/>
        <w:jc w:val="center"/>
        <w:outlineLvl w:val="1"/>
        <w:rPr>
          <w:rFonts w:hint="eastAsia" w:ascii="Times New Roman" w:hAnsi="Times New Roman" w:eastAsia="方正小标宋_GBK"/>
          <w:sz w:val="44"/>
          <w:szCs w:val="44"/>
        </w:rPr>
      </w:pPr>
      <w:r>
        <w:rPr>
          <w:rFonts w:hint="eastAsia" w:ascii="Times New Roman" w:hAnsi="Times New Roman" w:eastAsia="方正小标宋_GBK"/>
          <w:sz w:val="44"/>
          <w:szCs w:val="44"/>
        </w:rPr>
        <w:t>示范工程总结报告编制指南</w:t>
      </w:r>
    </w:p>
    <w:p>
      <w:pPr>
        <w:pStyle w:val="2"/>
        <w:ind w:firstLine="320"/>
      </w:pPr>
    </w:p>
    <w:p>
      <w:pPr>
        <w:spacing w:line="580" w:lineRule="exact"/>
        <w:ind w:firstLine="640"/>
        <w:rPr>
          <w:rFonts w:ascii="Times New Roman" w:hAnsi="Times New Roman" w:eastAsia="黑体"/>
          <w:sz w:val="32"/>
          <w:szCs w:val="32"/>
        </w:rPr>
      </w:pPr>
      <w:r>
        <w:rPr>
          <w:rFonts w:hint="eastAsia" w:ascii="Times New Roman" w:hAnsi="Times New Roman" w:eastAsia="黑体"/>
          <w:sz w:val="32"/>
          <w:szCs w:val="32"/>
        </w:rPr>
        <w:t>一、创建工作总体情况</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（一）发展现状。</w:t>
      </w:r>
      <w:r>
        <w:rPr>
          <w:rFonts w:hint="eastAsia" w:ascii="Times New Roman" w:hAnsi="Times New Roman" w:eastAsia="仿宋_GB2312"/>
          <w:sz w:val="32"/>
          <w:szCs w:val="32"/>
        </w:rPr>
        <w:t>概括本评价周期内城市绿色货运配送发展情况。</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（二）主要工作。</w:t>
      </w:r>
      <w:r>
        <w:rPr>
          <w:rFonts w:hint="eastAsia" w:ascii="Times New Roman" w:hAnsi="Times New Roman" w:eastAsia="仿宋_GB2312"/>
          <w:sz w:val="32"/>
          <w:szCs w:val="32"/>
        </w:rPr>
        <w:t>简述本评价周期内创建工作开展情况。</w:t>
      </w:r>
    </w:p>
    <w:p>
      <w:pPr>
        <w:spacing w:line="580" w:lineRule="exact"/>
        <w:ind w:firstLine="640"/>
        <w:rPr>
          <w:rFonts w:ascii="Times New Roman" w:hAnsi="Times New Roman" w:eastAsia="黑体"/>
          <w:sz w:val="32"/>
          <w:szCs w:val="32"/>
        </w:rPr>
      </w:pPr>
      <w:r>
        <w:rPr>
          <w:rFonts w:hint="eastAsia" w:ascii="Times New Roman" w:hAnsi="Times New Roman" w:eastAsia="黑体"/>
          <w:sz w:val="32"/>
          <w:szCs w:val="32"/>
        </w:rPr>
        <w:t>二、考核评价指标自评</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（一）考核评价指标测算。</w:t>
      </w:r>
      <w:r>
        <w:rPr>
          <w:rFonts w:hint="eastAsia" w:ascii="Times New Roman" w:hAnsi="Times New Roman" w:eastAsia="仿宋_GB2312"/>
          <w:sz w:val="32"/>
          <w:szCs w:val="32"/>
        </w:rPr>
        <w:t>按照《城市绿色货运配送示范工程绩效考核评分细则》测算本评价周期内考核评价指标值。</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（二）对比分析。</w:t>
      </w:r>
      <w:r>
        <w:rPr>
          <w:rFonts w:hint="eastAsia" w:ascii="Times New Roman" w:hAnsi="Times New Roman" w:eastAsia="仿宋_GB2312"/>
          <w:sz w:val="32"/>
          <w:szCs w:val="32"/>
        </w:rPr>
        <w:t>结合示范工程创建实施方案既定目标和年度计划确定的发展目标，对比分析考核指标水平和执行情况。</w:t>
      </w:r>
    </w:p>
    <w:p>
      <w:pPr>
        <w:spacing w:line="580" w:lineRule="exact"/>
        <w:ind w:firstLine="640"/>
        <w:rPr>
          <w:rFonts w:ascii="Times New Roman" w:hAnsi="Times New Roman" w:eastAsia="黑体"/>
          <w:sz w:val="32"/>
          <w:szCs w:val="32"/>
        </w:rPr>
      </w:pPr>
      <w:r>
        <w:rPr>
          <w:rFonts w:hint="eastAsia" w:ascii="Times New Roman" w:hAnsi="Times New Roman" w:eastAsia="黑体"/>
          <w:sz w:val="32"/>
          <w:szCs w:val="32"/>
        </w:rPr>
        <w:t>三、实施方案执行情况</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（一）工作机制建设运行情况。</w:t>
      </w:r>
      <w:r>
        <w:rPr>
          <w:rFonts w:ascii="Times New Roman" w:hAnsi="Times New Roman" w:eastAsia="仿宋_GB2312"/>
          <w:sz w:val="32"/>
          <w:szCs w:val="32"/>
        </w:rPr>
        <w:t>主要包括：城市绿色货运配送示范工程创建领导小组和部门协同联动机制建设运行情况</w:t>
      </w:r>
      <w:r>
        <w:rPr>
          <w:rFonts w:hint="eastAsia" w:ascii="Times New Roman" w:hAnsi="Times New Roman" w:eastAsia="仿宋_GB2312"/>
          <w:sz w:val="32"/>
          <w:szCs w:val="32"/>
        </w:rPr>
        <w:t>；</w:t>
      </w:r>
      <w:r>
        <w:rPr>
          <w:rFonts w:ascii="Times New Roman" w:hAnsi="Times New Roman" w:eastAsia="仿宋_GB2312"/>
          <w:sz w:val="32"/>
          <w:szCs w:val="32"/>
        </w:rPr>
        <w:t>城市人民政府在示范工程创建中的主体作用发挥情况</w:t>
      </w:r>
      <w:r>
        <w:rPr>
          <w:rFonts w:hint="eastAsia" w:ascii="Times New Roman" w:hAnsi="Times New Roman" w:eastAsia="仿宋_GB2312"/>
          <w:sz w:val="32"/>
          <w:szCs w:val="32"/>
        </w:rPr>
        <w:t>，</w:t>
      </w:r>
      <w:r>
        <w:rPr>
          <w:rFonts w:ascii="Times New Roman" w:hAnsi="Times New Roman" w:eastAsia="仿宋_GB2312"/>
          <w:sz w:val="32"/>
          <w:szCs w:val="32"/>
        </w:rPr>
        <w:t>在新能源车</w:t>
      </w:r>
      <w:r>
        <w:rPr>
          <w:rFonts w:hint="eastAsia" w:ascii="Times New Roman" w:hAnsi="Times New Roman" w:eastAsia="仿宋_GB2312"/>
          <w:sz w:val="32"/>
          <w:szCs w:val="32"/>
        </w:rPr>
        <w:t>辆</w:t>
      </w:r>
      <w:r>
        <w:rPr>
          <w:rFonts w:ascii="Times New Roman" w:hAnsi="Times New Roman" w:eastAsia="仿宋_GB2312"/>
          <w:sz w:val="32"/>
          <w:szCs w:val="32"/>
        </w:rPr>
        <w:t>购置与营运、配送中心建设、先进组织模式推广应用、市场主体培育等</w:t>
      </w:r>
      <w:r>
        <w:rPr>
          <w:rFonts w:hint="eastAsia" w:ascii="Times New Roman" w:hAnsi="Times New Roman" w:eastAsia="仿宋_GB2312"/>
          <w:sz w:val="32"/>
          <w:szCs w:val="32"/>
        </w:rPr>
        <w:t>方面</w:t>
      </w:r>
      <w:r>
        <w:rPr>
          <w:rFonts w:ascii="Times New Roman" w:hAnsi="Times New Roman" w:eastAsia="仿宋_GB2312"/>
          <w:sz w:val="32"/>
          <w:szCs w:val="32"/>
        </w:rPr>
        <w:t>支持投入情况</w:t>
      </w:r>
      <w:r>
        <w:rPr>
          <w:rFonts w:hint="eastAsia" w:ascii="Times New Roman" w:hAnsi="Times New Roman" w:eastAsia="仿宋_GB2312"/>
          <w:sz w:val="32"/>
          <w:szCs w:val="32"/>
        </w:rPr>
        <w:t>，在强化市场监管、规范城市配送市场和安全秩序，引导行业健康有序发展方面的推进落实情况等。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（二）节点网络规划建设情况。</w:t>
      </w:r>
      <w:r>
        <w:rPr>
          <w:rFonts w:ascii="Times New Roman" w:hAnsi="Times New Roman" w:eastAsia="仿宋_GB2312"/>
          <w:sz w:val="32"/>
          <w:szCs w:val="32"/>
        </w:rPr>
        <w:t>主要包括：干支衔接型货运枢纽（物流园区）、公共配送中心、末端共同配送站等城市配送物流基础设施规划数量、建设进度、实现功能情况等。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（三）通行政策制定执行情况。</w:t>
      </w:r>
      <w:r>
        <w:rPr>
          <w:rFonts w:ascii="Times New Roman" w:hAnsi="Times New Roman" w:eastAsia="仿宋_GB2312"/>
          <w:sz w:val="32"/>
          <w:szCs w:val="32"/>
        </w:rPr>
        <w:t>主要包括：城市货运配送需求调查和运力调控制度制定情况，配送车辆分时、错时、分类通行和停放措施优化情况，新能源</w:t>
      </w:r>
      <w:r>
        <w:rPr>
          <w:rFonts w:hint="eastAsia" w:ascii="Times New Roman" w:hAnsi="Times New Roman" w:eastAsia="仿宋_GB2312"/>
          <w:sz w:val="32"/>
          <w:szCs w:val="32"/>
        </w:rPr>
        <w:t>城市</w:t>
      </w:r>
      <w:r>
        <w:rPr>
          <w:rFonts w:ascii="Times New Roman" w:hAnsi="Times New Roman" w:eastAsia="仿宋_GB2312"/>
          <w:sz w:val="32"/>
          <w:szCs w:val="32"/>
        </w:rPr>
        <w:t>配送车辆便利化通行政策制定情况等。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（四）新能源车辆推广应用情况。</w:t>
      </w:r>
      <w:r>
        <w:rPr>
          <w:rFonts w:ascii="Times New Roman" w:hAnsi="Times New Roman" w:eastAsia="仿宋_GB2312"/>
          <w:sz w:val="32"/>
          <w:szCs w:val="32"/>
        </w:rPr>
        <w:t>主要包括：城市配送新能源车辆购置和运营情况，城市配送新能源车辆充电桩等配套设施建设情况，冷藏保温配送车辆等专业化装备配备情况等。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（五）配送</w:t>
      </w:r>
      <w:r>
        <w:rPr>
          <w:rFonts w:ascii="Times New Roman" w:hAnsi="Times New Roman" w:eastAsia="楷体"/>
          <w:b/>
          <w:sz w:val="32"/>
          <w:szCs w:val="32"/>
        </w:rPr>
        <w:t>车辆规范</w:t>
      </w:r>
      <w:r>
        <w:rPr>
          <w:rFonts w:hint="eastAsia" w:ascii="Times New Roman" w:hAnsi="Times New Roman" w:eastAsia="楷体"/>
          <w:b/>
          <w:sz w:val="32"/>
          <w:szCs w:val="32"/>
        </w:rPr>
        <w:t>安全</w:t>
      </w:r>
      <w:r>
        <w:rPr>
          <w:rFonts w:ascii="Times New Roman" w:hAnsi="Times New Roman" w:eastAsia="楷体"/>
          <w:b/>
          <w:sz w:val="32"/>
          <w:szCs w:val="32"/>
        </w:rPr>
        <w:t>管理情况。</w:t>
      </w:r>
      <w:r>
        <w:rPr>
          <w:rFonts w:ascii="Times New Roman" w:hAnsi="Times New Roman" w:eastAsia="仿宋_GB2312"/>
          <w:sz w:val="32"/>
          <w:szCs w:val="32"/>
        </w:rPr>
        <w:t>主要</w:t>
      </w:r>
      <w:r>
        <w:rPr>
          <w:rFonts w:hint="eastAsia" w:ascii="Times New Roman" w:hAnsi="Times New Roman" w:eastAsia="仿宋_GB2312"/>
          <w:sz w:val="32"/>
          <w:szCs w:val="32"/>
        </w:rPr>
        <w:t>包括</w:t>
      </w:r>
      <w:r>
        <w:rPr>
          <w:rFonts w:ascii="Times New Roman" w:hAnsi="Times New Roman" w:eastAsia="仿宋_GB2312"/>
          <w:sz w:val="32"/>
          <w:szCs w:val="32"/>
        </w:rPr>
        <w:t>：</w:t>
      </w:r>
      <w:r>
        <w:rPr>
          <w:rFonts w:hint="eastAsia" w:ascii="Times New Roman" w:hAnsi="Times New Roman" w:eastAsia="仿宋_GB2312"/>
          <w:sz w:val="32"/>
          <w:szCs w:val="32"/>
        </w:rPr>
        <w:t>推进配送</w:t>
      </w:r>
      <w:r>
        <w:rPr>
          <w:rFonts w:ascii="Times New Roman" w:hAnsi="Times New Roman" w:eastAsia="仿宋_GB2312"/>
          <w:sz w:val="32"/>
          <w:szCs w:val="32"/>
        </w:rPr>
        <w:t>车辆规范化管理相关</w:t>
      </w:r>
      <w:r>
        <w:rPr>
          <w:rFonts w:hint="eastAsia" w:ascii="Times New Roman" w:hAnsi="Times New Roman" w:eastAsia="仿宋_GB2312"/>
          <w:sz w:val="32"/>
          <w:szCs w:val="32"/>
        </w:rPr>
        <w:t>举措和实施</w:t>
      </w:r>
      <w:r>
        <w:rPr>
          <w:rFonts w:ascii="Times New Roman" w:hAnsi="Times New Roman" w:eastAsia="仿宋_GB2312"/>
          <w:sz w:val="32"/>
          <w:szCs w:val="32"/>
        </w:rPr>
        <w:t>效果，</w:t>
      </w:r>
      <w:r>
        <w:rPr>
          <w:rFonts w:hint="eastAsia" w:ascii="Times New Roman" w:hAnsi="Times New Roman" w:eastAsia="仿宋_GB2312"/>
          <w:sz w:val="32"/>
          <w:szCs w:val="32"/>
        </w:rPr>
        <w:t>配送企业落实交通安全主体责任情况等</w:t>
      </w:r>
      <w:r>
        <w:rPr>
          <w:rFonts w:ascii="Times New Roman" w:hAnsi="Times New Roman" w:eastAsia="仿宋_GB2312"/>
          <w:sz w:val="32"/>
          <w:szCs w:val="32"/>
        </w:rPr>
        <w:t>。</w:t>
      </w:r>
    </w:p>
    <w:p>
      <w:pPr>
        <w:spacing w:line="580" w:lineRule="exact"/>
        <w:ind w:firstLine="649" w:firstLineChars="202"/>
        <w:rPr>
          <w:rFonts w:ascii="Times New Roman" w:hAnsi="Times New Roman" w:eastAsia="楷体_GB2312"/>
          <w:b/>
          <w:sz w:val="32"/>
          <w:szCs w:val="32"/>
        </w:rPr>
      </w:pPr>
      <w:r>
        <w:rPr>
          <w:rFonts w:hint="eastAsia" w:ascii="Times New Roman" w:hAnsi="Times New Roman" w:eastAsia="楷体"/>
          <w:b/>
          <w:sz w:val="32"/>
          <w:szCs w:val="32"/>
        </w:rPr>
        <w:t>（六）信息资源交互共享情况。</w:t>
      </w:r>
      <w:r>
        <w:rPr>
          <w:rFonts w:ascii="Times New Roman" w:hAnsi="Times New Roman" w:eastAsia="仿宋_GB2312"/>
          <w:sz w:val="32"/>
          <w:szCs w:val="32"/>
        </w:rPr>
        <w:t>主要包括：货运配送公共信息服务平台建设情况，交通</w:t>
      </w:r>
      <w:r>
        <w:rPr>
          <w:rFonts w:hint="eastAsia" w:ascii="Times New Roman" w:hAnsi="Times New Roman" w:eastAsia="仿宋_GB2312"/>
          <w:sz w:val="32"/>
          <w:szCs w:val="32"/>
        </w:rPr>
        <w:t>运输</w:t>
      </w:r>
      <w:r>
        <w:rPr>
          <w:rFonts w:ascii="Times New Roman" w:hAnsi="Times New Roman" w:eastAsia="仿宋_GB2312"/>
          <w:sz w:val="32"/>
          <w:szCs w:val="32"/>
        </w:rPr>
        <w:t>、公安、商务等</w:t>
      </w:r>
      <w:r>
        <w:rPr>
          <w:rFonts w:hint="eastAsia" w:ascii="Times New Roman" w:hAnsi="Times New Roman" w:eastAsia="仿宋_GB2312"/>
          <w:sz w:val="32"/>
          <w:szCs w:val="32"/>
        </w:rPr>
        <w:t>主管</w:t>
      </w:r>
      <w:r>
        <w:rPr>
          <w:rFonts w:ascii="Times New Roman" w:hAnsi="Times New Roman" w:eastAsia="仿宋_GB2312"/>
          <w:sz w:val="32"/>
          <w:szCs w:val="32"/>
        </w:rPr>
        <w:t>部门信息资源整合情况，城市配送企业信息上传情况，地市级平台与省级平台、部级平台对接情况等。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（七）组织模式优化创新情况。</w:t>
      </w:r>
      <w:r>
        <w:rPr>
          <w:rFonts w:ascii="Times New Roman" w:hAnsi="Times New Roman" w:eastAsia="仿宋_GB2312"/>
          <w:sz w:val="32"/>
          <w:szCs w:val="32"/>
        </w:rPr>
        <w:t>主要包括：统一配送、集中配送、共同配送</w:t>
      </w:r>
      <w:r>
        <w:rPr>
          <w:rFonts w:hint="eastAsia" w:ascii="Times New Roman" w:hAnsi="Times New Roman" w:eastAsia="仿宋_GB2312"/>
          <w:sz w:val="32"/>
          <w:szCs w:val="32"/>
        </w:rPr>
        <w:t>、</w:t>
      </w:r>
      <w:r>
        <w:rPr>
          <w:rFonts w:ascii="Times New Roman" w:hAnsi="Times New Roman" w:eastAsia="仿宋_GB2312"/>
          <w:sz w:val="32"/>
          <w:szCs w:val="32"/>
        </w:rPr>
        <w:t>夜间配送等先进配送组织模式推广应用情况；干线甩挂运输与城市共同配送一体化运作情况等。</w:t>
      </w:r>
    </w:p>
    <w:p>
      <w:pPr>
        <w:spacing w:line="580" w:lineRule="exact"/>
        <w:ind w:firstLine="649" w:firstLineChars="202"/>
        <w:rPr>
          <w:rFonts w:ascii="Times New Roman" w:hAnsi="Times New Roman" w:eastAsia="仿宋_GB2312"/>
          <w:sz w:val="32"/>
          <w:szCs w:val="32"/>
        </w:rPr>
      </w:pPr>
      <w:r>
        <w:rPr>
          <w:rFonts w:hint="eastAsia" w:ascii="Times New Roman" w:hAnsi="Times New Roman" w:eastAsia="楷体"/>
          <w:b/>
          <w:sz w:val="32"/>
          <w:szCs w:val="32"/>
        </w:rPr>
        <w:t>（八）货运配送运行绩效情况。</w:t>
      </w:r>
      <w:r>
        <w:rPr>
          <w:rFonts w:ascii="Times New Roman" w:hAnsi="Times New Roman" w:eastAsia="仿宋_GB2312"/>
          <w:sz w:val="32"/>
          <w:szCs w:val="32"/>
        </w:rPr>
        <w:t>主要包括：城市配送服务效率、服务质量变化与提升情况，货物在途实时监控、安全准时配送等服务提升情况，城市绿色货运配送对节能减排、物流业降本增效贡献情况等。</w:t>
      </w:r>
    </w:p>
    <w:p>
      <w:pPr>
        <w:spacing w:line="580" w:lineRule="exact"/>
        <w:ind w:firstLine="643"/>
        <w:rPr>
          <w:rFonts w:ascii="Times New Roman" w:hAnsi="Times New Roman" w:eastAsia="仿宋_GB2312"/>
          <w:sz w:val="32"/>
          <w:szCs w:val="32"/>
        </w:rPr>
      </w:pPr>
      <w:r>
        <w:rPr>
          <w:rFonts w:hint="eastAsia" w:ascii="Times New Roman" w:hAnsi="Times New Roman" w:eastAsia="楷体"/>
          <w:b/>
          <w:sz w:val="32"/>
          <w:szCs w:val="32"/>
        </w:rPr>
        <w:t>（九）资金投入和落实情况。</w:t>
      </w:r>
      <w:r>
        <w:rPr>
          <w:rFonts w:hint="eastAsia" w:ascii="Times New Roman" w:hAnsi="Times New Roman" w:eastAsia="仿宋_GB2312"/>
          <w:sz w:val="32"/>
          <w:szCs w:val="32"/>
        </w:rPr>
        <w:t>主要包括：年度投资总量、主要来源及使用情况。</w:t>
      </w:r>
    </w:p>
    <w:p>
      <w:pPr>
        <w:spacing w:line="580" w:lineRule="exact"/>
        <w:ind w:firstLine="640"/>
        <w:rPr>
          <w:rFonts w:ascii="Times New Roman" w:hAnsi="Times New Roman" w:eastAsia="黑体"/>
          <w:sz w:val="32"/>
          <w:szCs w:val="32"/>
        </w:rPr>
      </w:pPr>
      <w:r>
        <w:rPr>
          <w:rFonts w:hint="eastAsia" w:ascii="Times New Roman" w:hAnsi="Times New Roman" w:eastAsia="黑体"/>
          <w:sz w:val="32"/>
          <w:szCs w:val="32"/>
        </w:rPr>
        <w:t>四、创建工作经验和建议</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（一）主要成效与经验。</w:t>
      </w:r>
      <w:r>
        <w:rPr>
          <w:rFonts w:hint="eastAsia" w:ascii="Times New Roman" w:hAnsi="Times New Roman" w:eastAsia="仿宋_GB2312"/>
          <w:sz w:val="32"/>
          <w:szCs w:val="32"/>
        </w:rPr>
        <w:t>创建工作取得的成效和经验。</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（二）存在问题及不足。</w:t>
      </w:r>
      <w:r>
        <w:rPr>
          <w:rFonts w:hint="eastAsia" w:ascii="Times New Roman" w:hAnsi="Times New Roman" w:eastAsia="仿宋_GB2312"/>
          <w:sz w:val="32"/>
          <w:szCs w:val="32"/>
        </w:rPr>
        <w:t>总结创建工作中出现的问题，并提出针对性解决措施。</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（三）创建工作建议。</w:t>
      </w:r>
      <w:r>
        <w:rPr>
          <w:rFonts w:hint="eastAsia" w:ascii="Times New Roman" w:hAnsi="Times New Roman" w:eastAsia="仿宋_GB2312"/>
          <w:sz w:val="32"/>
          <w:szCs w:val="32"/>
        </w:rPr>
        <w:t>提出进一步推进城市绿色货运配送创建工作的相关建议。</w:t>
      </w:r>
    </w:p>
    <w:p>
      <w:pPr>
        <w:spacing w:line="580" w:lineRule="exact"/>
        <w:ind w:firstLine="640"/>
        <w:rPr>
          <w:rFonts w:ascii="Times New Roman" w:hAnsi="Times New Roman" w:eastAsia="黑体"/>
          <w:sz w:val="32"/>
          <w:szCs w:val="32"/>
        </w:rPr>
      </w:pPr>
      <w:r>
        <w:rPr>
          <w:rFonts w:hint="eastAsia" w:ascii="Times New Roman" w:hAnsi="Times New Roman" w:eastAsia="黑体"/>
          <w:sz w:val="32"/>
          <w:szCs w:val="32"/>
        </w:rPr>
        <w:t>五、工作计划</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（一）工作目标。</w:t>
      </w:r>
      <w:r>
        <w:rPr>
          <w:rFonts w:hint="eastAsia" w:ascii="Times New Roman" w:hAnsi="Times New Roman" w:eastAsia="仿宋_GB2312"/>
          <w:sz w:val="32"/>
          <w:szCs w:val="32"/>
        </w:rPr>
        <w:t>结合年度重点工作，提出下一周期创建目标，设定考核评价指标目标值。</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（二）规划政策制定计划。</w:t>
      </w:r>
      <w:r>
        <w:rPr>
          <w:rFonts w:hint="eastAsia" w:ascii="Times New Roman" w:hAnsi="Times New Roman" w:eastAsia="仿宋_GB2312"/>
          <w:sz w:val="32"/>
          <w:szCs w:val="32"/>
        </w:rPr>
        <w:t>计划出台的城市绿色货运配送相关政策、法规、条例和标准，计划编制或修编的相关规划。</w:t>
      </w:r>
    </w:p>
    <w:p>
      <w:pPr>
        <w:spacing w:line="580" w:lineRule="exact"/>
        <w:ind w:firstLine="643"/>
        <w:rPr>
          <w:rFonts w:ascii="Times New Roman" w:hAnsi="Times New Roman" w:eastAsia="仿宋_GB2312"/>
          <w:b/>
          <w:bCs/>
          <w:sz w:val="32"/>
          <w:szCs w:val="32"/>
        </w:rPr>
      </w:pPr>
      <w:r>
        <w:rPr>
          <w:rFonts w:hint="eastAsia" w:ascii="Times New Roman" w:hAnsi="Times New Roman" w:eastAsia="楷体"/>
          <w:b/>
          <w:sz w:val="32"/>
          <w:szCs w:val="32"/>
        </w:rPr>
        <w:t>（三）重点工作推进计划。</w:t>
      </w:r>
      <w:r>
        <w:rPr>
          <w:rFonts w:hint="eastAsia" w:ascii="Times New Roman" w:hAnsi="Times New Roman" w:eastAsia="仿宋_GB2312"/>
          <w:sz w:val="32"/>
          <w:szCs w:val="32"/>
        </w:rPr>
        <w:t>在基础设施建设、通行政策优化、新能源配送车辆更新升级、信息平台建设、引导企业优化组织模式和节能减排技术改造等方面的工作计划。</w:t>
      </w:r>
    </w:p>
    <w:p>
      <w:pPr>
        <w:spacing w:line="580" w:lineRule="exact"/>
        <w:ind w:firstLine="643"/>
        <w:rPr>
          <w:rFonts w:ascii="Times New Roman" w:hAnsi="Times New Roman" w:eastAsia="仿宋_GB2312"/>
          <w:sz w:val="32"/>
          <w:szCs w:val="32"/>
        </w:rPr>
      </w:pPr>
      <w:r>
        <w:rPr>
          <w:rFonts w:hint="eastAsia" w:ascii="Times New Roman" w:hAnsi="Times New Roman" w:eastAsia="楷体"/>
          <w:b/>
          <w:sz w:val="32"/>
          <w:szCs w:val="32"/>
        </w:rPr>
        <w:t>（四）资金保障计划。</w:t>
      </w:r>
      <w:r>
        <w:rPr>
          <w:rFonts w:hint="eastAsia" w:ascii="Times New Roman" w:hAnsi="Times New Roman" w:eastAsia="仿宋_GB2312"/>
          <w:sz w:val="32"/>
          <w:szCs w:val="32"/>
        </w:rPr>
        <w:t>资金投入计划及投融资渠道。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52DE4"/>
    <w:rsid w:val="46F5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afterLines="0"/>
      <w:ind w:firstLine="420" w:firstLineChars="100"/>
      <w:jc w:val="both"/>
    </w:pPr>
    <w:rPr>
      <w:rFonts w:ascii="Calibri" w:hAnsi="Calibri" w:eastAsia="仿宋_GB2312" w:cs="Times New Roman"/>
      <w:kern w:val="2"/>
      <w:sz w:val="32"/>
      <w:lang w:val="en-US" w:eastAsia="zh-CN"/>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2022-03-15T09:19:00Z</dcterms:created>
  <dc:creator>cici</dc:creator>
  <cp:lastModifiedBy>cici</cp:lastModifiedBy>
  <dcterms:modified xsi:type="dcterms:W3CDTF">2022-03-15T09:19:45Z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E2C856917CB447F6A30EEA601FE518C5</vt:lpwstr>
  </property>
</Properties>
</file>