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outlineLvl w:val="0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附件3</w:t>
      </w:r>
    </w:p>
    <w:p>
      <w:pPr>
        <w:adjustRightInd w:val="0"/>
        <w:snapToGrid w:val="0"/>
        <w:spacing w:after="312" w:afterLines="100" w:line="600" w:lineRule="exact"/>
        <w:jc w:val="center"/>
        <w:outlineLvl w:val="1"/>
        <w:rPr>
          <w:rFonts w:hint="eastAsia" w:ascii="Times New Roman" w:hAnsi="Times New Roman" w:eastAsia="方正小标宋_GBK"/>
          <w:sz w:val="44"/>
          <w:szCs w:val="44"/>
        </w:rPr>
      </w:pPr>
      <w:bookmarkStart w:id="0" w:name="_GoBack"/>
      <w:bookmarkEnd w:id="0"/>
    </w:p>
    <w:p>
      <w:pPr>
        <w:adjustRightInd w:val="0"/>
        <w:snapToGrid w:val="0"/>
        <w:spacing w:after="312" w:afterLines="100" w:line="600" w:lineRule="exact"/>
        <w:jc w:val="center"/>
        <w:outlineLvl w:val="1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示范工程验收申请报告编制指南</w:t>
      </w:r>
    </w:p>
    <w:p>
      <w:pPr>
        <w:spacing w:line="58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</w:t>
      </w:r>
      <w:r>
        <w:rPr>
          <w:rFonts w:ascii="Times New Roman" w:hAnsi="Times New Roman" w:eastAsia="黑体"/>
          <w:sz w:val="32"/>
          <w:szCs w:val="32"/>
        </w:rPr>
        <w:t>、创建工作总体情况</w:t>
      </w:r>
    </w:p>
    <w:p>
      <w:pPr>
        <w:spacing w:line="58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围绕</w:t>
      </w:r>
      <w:r>
        <w:rPr>
          <w:rFonts w:ascii="Times New Roman" w:hAnsi="Times New Roman" w:eastAsia="仿宋_GB2312"/>
          <w:sz w:val="32"/>
          <w:szCs w:val="32"/>
        </w:rPr>
        <w:t>发展现状、主要工作、取得成效</w:t>
      </w:r>
      <w:r>
        <w:rPr>
          <w:rFonts w:hint="eastAsia" w:ascii="Times New Roman" w:hAnsi="Times New Roman" w:eastAsia="仿宋_GB2312"/>
          <w:sz w:val="32"/>
          <w:szCs w:val="32"/>
        </w:rPr>
        <w:t>等</w:t>
      </w:r>
      <w:r>
        <w:rPr>
          <w:rFonts w:ascii="Times New Roman" w:hAnsi="Times New Roman" w:eastAsia="仿宋_GB2312"/>
          <w:sz w:val="32"/>
          <w:szCs w:val="32"/>
        </w:rPr>
        <w:t>方面，</w:t>
      </w:r>
      <w:r>
        <w:rPr>
          <w:rFonts w:hint="eastAsia" w:ascii="Times New Roman" w:hAnsi="Times New Roman" w:eastAsia="仿宋_GB2312"/>
          <w:sz w:val="32"/>
          <w:szCs w:val="32"/>
        </w:rPr>
        <w:t>总结</w:t>
      </w:r>
      <w:r>
        <w:rPr>
          <w:rFonts w:ascii="Times New Roman" w:hAnsi="Times New Roman" w:eastAsia="仿宋_GB2312"/>
          <w:sz w:val="32"/>
          <w:szCs w:val="32"/>
        </w:rPr>
        <w:t>阐述</w:t>
      </w:r>
      <w:r>
        <w:rPr>
          <w:rFonts w:hint="eastAsia" w:ascii="Times New Roman" w:hAnsi="Times New Roman" w:eastAsia="仿宋_GB2312"/>
          <w:sz w:val="32"/>
          <w:szCs w:val="32"/>
        </w:rPr>
        <w:t>示范</w:t>
      </w:r>
      <w:r>
        <w:rPr>
          <w:rFonts w:ascii="Times New Roman" w:hAnsi="Times New Roman" w:eastAsia="仿宋_GB2312"/>
          <w:sz w:val="32"/>
          <w:szCs w:val="32"/>
        </w:rPr>
        <w:t>期</w:t>
      </w:r>
      <w:r>
        <w:rPr>
          <w:rFonts w:hint="eastAsia" w:ascii="Times New Roman" w:hAnsi="Times New Roman" w:eastAsia="仿宋_GB2312"/>
          <w:sz w:val="32"/>
          <w:szCs w:val="32"/>
        </w:rPr>
        <w:t>内</w:t>
      </w:r>
      <w:r>
        <w:rPr>
          <w:rFonts w:ascii="Times New Roman" w:hAnsi="Times New Roman" w:eastAsia="仿宋_GB2312"/>
          <w:sz w:val="32"/>
          <w:szCs w:val="32"/>
        </w:rPr>
        <w:t>创建工作总体情况。</w:t>
      </w:r>
    </w:p>
    <w:p>
      <w:pPr>
        <w:spacing w:line="58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二、《实施方案》执行情况</w:t>
      </w:r>
    </w:p>
    <w:p>
      <w:pPr>
        <w:spacing w:line="58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对照《实施</w:t>
      </w:r>
      <w:r>
        <w:rPr>
          <w:rFonts w:ascii="Times New Roman" w:hAnsi="Times New Roman" w:eastAsia="仿宋_GB2312"/>
          <w:sz w:val="32"/>
          <w:szCs w:val="32"/>
        </w:rPr>
        <w:t>方案</w:t>
      </w:r>
      <w:r>
        <w:rPr>
          <w:rFonts w:hint="eastAsia" w:ascii="Times New Roman" w:hAnsi="Times New Roman" w:eastAsia="仿宋_GB2312"/>
          <w:sz w:val="32"/>
          <w:szCs w:val="32"/>
        </w:rPr>
        <w:t>》确定</w:t>
      </w:r>
      <w:r>
        <w:rPr>
          <w:rFonts w:ascii="Times New Roman" w:hAnsi="Times New Roman" w:eastAsia="仿宋_GB2312"/>
          <w:sz w:val="32"/>
          <w:szCs w:val="32"/>
        </w:rPr>
        <w:t>的创建内容，</w:t>
      </w:r>
      <w:r>
        <w:rPr>
          <w:rFonts w:hint="eastAsia" w:ascii="Times New Roman" w:hAnsi="Times New Roman" w:eastAsia="仿宋_GB2312"/>
          <w:sz w:val="32"/>
          <w:szCs w:val="32"/>
        </w:rPr>
        <w:t>评估示范</w:t>
      </w:r>
      <w:r>
        <w:rPr>
          <w:rFonts w:ascii="Times New Roman" w:hAnsi="Times New Roman" w:eastAsia="仿宋_GB2312"/>
          <w:sz w:val="32"/>
          <w:szCs w:val="32"/>
        </w:rPr>
        <w:t>期内</w:t>
      </w:r>
      <w:r>
        <w:rPr>
          <w:rFonts w:hint="eastAsia" w:ascii="Times New Roman" w:hAnsi="Times New Roman" w:eastAsia="仿宋_GB2312"/>
          <w:sz w:val="32"/>
          <w:szCs w:val="32"/>
        </w:rPr>
        <w:t>建设</w:t>
      </w:r>
      <w:r>
        <w:rPr>
          <w:rFonts w:ascii="Times New Roman" w:hAnsi="Times New Roman" w:eastAsia="仿宋_GB2312"/>
          <w:sz w:val="32"/>
          <w:szCs w:val="32"/>
        </w:rPr>
        <w:t>目标、主要任务和重点项目进展情况和存在问题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对未完成的</w:t>
      </w:r>
      <w:r>
        <w:rPr>
          <w:rFonts w:hint="eastAsia" w:ascii="Times New Roman" w:hAnsi="Times New Roman" w:eastAsia="仿宋_GB2312"/>
          <w:sz w:val="32"/>
          <w:szCs w:val="32"/>
        </w:rPr>
        <w:t>重点</w:t>
      </w:r>
      <w:r>
        <w:rPr>
          <w:rFonts w:ascii="Times New Roman" w:hAnsi="Times New Roman" w:eastAsia="仿宋_GB2312"/>
          <w:sz w:val="32"/>
          <w:szCs w:val="32"/>
        </w:rPr>
        <w:t>工程项目具体说明原因。</w:t>
      </w:r>
    </w:p>
    <w:p>
      <w:pPr>
        <w:spacing w:line="58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三、示范工程</w:t>
      </w:r>
      <w:r>
        <w:rPr>
          <w:rFonts w:ascii="Times New Roman" w:hAnsi="Times New Roman" w:eastAsia="黑体"/>
          <w:sz w:val="32"/>
          <w:szCs w:val="32"/>
        </w:rPr>
        <w:t>运行绩效情况</w:t>
      </w:r>
    </w:p>
    <w:p>
      <w:pPr>
        <w:spacing w:line="58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对照</w:t>
      </w:r>
      <w:r>
        <w:rPr>
          <w:rFonts w:hint="eastAsia" w:ascii="Times New Roman" w:hAnsi="Times New Roman" w:eastAsia="仿宋_GB2312"/>
          <w:sz w:val="32"/>
          <w:szCs w:val="32"/>
        </w:rPr>
        <w:t>验收</w:t>
      </w:r>
      <w:r>
        <w:rPr>
          <w:rFonts w:ascii="Times New Roman" w:hAnsi="Times New Roman" w:eastAsia="仿宋_GB2312"/>
          <w:sz w:val="32"/>
          <w:szCs w:val="32"/>
        </w:rPr>
        <w:t>评分</w:t>
      </w:r>
      <w:r>
        <w:rPr>
          <w:rFonts w:hint="eastAsia" w:ascii="Times New Roman" w:hAnsi="Times New Roman" w:eastAsia="仿宋_GB2312"/>
          <w:sz w:val="32"/>
          <w:szCs w:val="32"/>
        </w:rPr>
        <w:t>标准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阐述</w:t>
      </w:r>
      <w:r>
        <w:rPr>
          <w:rFonts w:ascii="Times New Roman" w:hAnsi="Times New Roman" w:eastAsia="仿宋_GB2312"/>
          <w:sz w:val="32"/>
          <w:szCs w:val="32"/>
        </w:rPr>
        <w:t>完成情况，并提供</w:t>
      </w:r>
      <w:r>
        <w:rPr>
          <w:rFonts w:hint="eastAsia" w:ascii="Times New Roman" w:hAnsi="Times New Roman" w:eastAsia="仿宋_GB2312"/>
          <w:sz w:val="32"/>
          <w:szCs w:val="32"/>
        </w:rPr>
        <w:t>计算</w:t>
      </w:r>
      <w:r>
        <w:rPr>
          <w:rFonts w:ascii="Times New Roman" w:hAnsi="Times New Roman" w:eastAsia="仿宋_GB2312"/>
          <w:sz w:val="32"/>
          <w:szCs w:val="32"/>
        </w:rPr>
        <w:t>过程和相关佐证材料。</w:t>
      </w:r>
    </w:p>
    <w:p>
      <w:pPr>
        <w:spacing w:line="58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四、经验模式总结</w:t>
      </w:r>
      <w:r>
        <w:rPr>
          <w:rFonts w:ascii="Times New Roman" w:hAnsi="Times New Roman" w:eastAsia="黑体"/>
          <w:sz w:val="32"/>
          <w:szCs w:val="32"/>
        </w:rPr>
        <w:t>情况</w:t>
      </w:r>
    </w:p>
    <w:p>
      <w:pPr>
        <w:spacing w:line="58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总结</w:t>
      </w:r>
      <w:r>
        <w:rPr>
          <w:rFonts w:ascii="Times New Roman" w:hAnsi="Times New Roman" w:eastAsia="仿宋_GB2312"/>
          <w:sz w:val="32"/>
          <w:szCs w:val="32"/>
        </w:rPr>
        <w:t>示范</w:t>
      </w:r>
      <w:r>
        <w:rPr>
          <w:rFonts w:hint="eastAsia" w:ascii="Times New Roman" w:hAnsi="Times New Roman" w:eastAsia="仿宋_GB2312"/>
          <w:sz w:val="32"/>
          <w:szCs w:val="32"/>
        </w:rPr>
        <w:t>工程</w:t>
      </w:r>
      <w:r>
        <w:rPr>
          <w:rFonts w:ascii="Times New Roman" w:hAnsi="Times New Roman" w:eastAsia="仿宋_GB2312"/>
          <w:sz w:val="32"/>
          <w:szCs w:val="32"/>
        </w:rPr>
        <w:t>在</w:t>
      </w:r>
      <w:r>
        <w:rPr>
          <w:rFonts w:hint="eastAsia" w:ascii="Times New Roman" w:hAnsi="Times New Roman" w:eastAsia="仿宋_GB2312"/>
          <w:sz w:val="32"/>
          <w:szCs w:val="32"/>
        </w:rPr>
        <w:t>体制机制</w:t>
      </w:r>
      <w:r>
        <w:rPr>
          <w:rFonts w:ascii="Times New Roman" w:hAnsi="Times New Roman" w:eastAsia="仿宋_GB2312"/>
          <w:sz w:val="32"/>
          <w:szCs w:val="32"/>
        </w:rPr>
        <w:t>保障、</w:t>
      </w:r>
      <w:r>
        <w:rPr>
          <w:rFonts w:hint="eastAsia" w:ascii="Times New Roman" w:hAnsi="Times New Roman" w:eastAsia="仿宋_GB2312"/>
          <w:sz w:val="32"/>
          <w:szCs w:val="32"/>
        </w:rPr>
        <w:t>节点网络</w:t>
      </w:r>
      <w:r>
        <w:rPr>
          <w:rFonts w:ascii="Times New Roman" w:hAnsi="Times New Roman" w:eastAsia="仿宋_GB2312"/>
          <w:sz w:val="32"/>
          <w:szCs w:val="32"/>
        </w:rPr>
        <w:t>规划建设、</w:t>
      </w:r>
      <w:r>
        <w:rPr>
          <w:rFonts w:hint="eastAsia" w:ascii="Times New Roman" w:hAnsi="Times New Roman" w:eastAsia="仿宋_GB2312"/>
          <w:sz w:val="32"/>
          <w:szCs w:val="32"/>
        </w:rPr>
        <w:t>新</w:t>
      </w:r>
      <w:r>
        <w:rPr>
          <w:rFonts w:ascii="Times New Roman" w:hAnsi="Times New Roman" w:eastAsia="仿宋_GB2312"/>
          <w:sz w:val="32"/>
          <w:szCs w:val="32"/>
        </w:rPr>
        <w:t>能源车辆推广应用、</w:t>
      </w:r>
      <w:r>
        <w:rPr>
          <w:rFonts w:hint="eastAsia" w:ascii="Times New Roman" w:hAnsi="Times New Roman" w:eastAsia="仿宋_GB2312"/>
          <w:sz w:val="32"/>
          <w:szCs w:val="32"/>
        </w:rPr>
        <w:t>配送车辆规范管理、</w:t>
      </w:r>
      <w:r>
        <w:rPr>
          <w:rFonts w:ascii="Times New Roman" w:hAnsi="Times New Roman" w:eastAsia="仿宋_GB2312"/>
          <w:sz w:val="32"/>
          <w:szCs w:val="32"/>
        </w:rPr>
        <w:t>通行政策制定</w:t>
      </w:r>
      <w:r>
        <w:rPr>
          <w:rFonts w:hint="eastAsia" w:ascii="Times New Roman" w:hAnsi="Times New Roman" w:eastAsia="仿宋_GB2312"/>
          <w:sz w:val="32"/>
          <w:szCs w:val="32"/>
        </w:rPr>
        <w:t>执行</w:t>
      </w:r>
      <w:r>
        <w:rPr>
          <w:rFonts w:ascii="Times New Roman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组织</w:t>
      </w:r>
      <w:r>
        <w:rPr>
          <w:rFonts w:ascii="Times New Roman" w:hAnsi="Times New Roman" w:eastAsia="仿宋_GB2312"/>
          <w:sz w:val="32"/>
          <w:szCs w:val="32"/>
        </w:rPr>
        <w:t>模式优化创新</w:t>
      </w:r>
      <w:r>
        <w:rPr>
          <w:rFonts w:hint="eastAsia" w:ascii="Times New Roman" w:hAnsi="Times New Roman" w:eastAsia="仿宋_GB2312"/>
          <w:sz w:val="32"/>
          <w:szCs w:val="32"/>
        </w:rPr>
        <w:t>、信息</w:t>
      </w:r>
      <w:r>
        <w:rPr>
          <w:rFonts w:ascii="Times New Roman" w:hAnsi="Times New Roman" w:eastAsia="仿宋_GB2312"/>
          <w:sz w:val="32"/>
          <w:szCs w:val="32"/>
        </w:rPr>
        <w:t>资源交互共享</w:t>
      </w:r>
      <w:r>
        <w:rPr>
          <w:rFonts w:hint="eastAsia" w:ascii="Times New Roman" w:hAnsi="Times New Roman" w:eastAsia="仿宋_GB2312"/>
          <w:sz w:val="32"/>
          <w:szCs w:val="32"/>
        </w:rPr>
        <w:t>、降本</w:t>
      </w:r>
      <w:r>
        <w:rPr>
          <w:rFonts w:ascii="Times New Roman" w:hAnsi="Times New Roman" w:eastAsia="仿宋_GB2312"/>
          <w:sz w:val="32"/>
          <w:szCs w:val="32"/>
        </w:rPr>
        <w:t>增效和节能减排</w:t>
      </w:r>
      <w:r>
        <w:rPr>
          <w:rFonts w:hint="eastAsia" w:ascii="Times New Roman" w:hAnsi="Times New Roman" w:eastAsia="仿宋_GB2312"/>
          <w:sz w:val="32"/>
          <w:szCs w:val="32"/>
        </w:rPr>
        <w:t>等</w:t>
      </w:r>
      <w:r>
        <w:rPr>
          <w:rFonts w:ascii="Times New Roman" w:hAnsi="Times New Roman" w:eastAsia="仿宋_GB2312"/>
          <w:sz w:val="32"/>
          <w:szCs w:val="32"/>
        </w:rPr>
        <w:t>方面的经验做法，提炼形成</w:t>
      </w:r>
      <w:r>
        <w:rPr>
          <w:rFonts w:hint="eastAsia" w:ascii="Times New Roman" w:hAnsi="Times New Roman" w:eastAsia="仿宋_GB2312"/>
          <w:sz w:val="32"/>
          <w:szCs w:val="32"/>
        </w:rPr>
        <w:t>可供全国推广复制的典型模式和案例。</w:t>
      </w:r>
    </w:p>
    <w:p>
      <w:pPr>
        <w:spacing w:line="58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五、下一步工作</w:t>
      </w:r>
      <w:r>
        <w:rPr>
          <w:rFonts w:ascii="Times New Roman" w:hAnsi="Times New Roman" w:eastAsia="黑体"/>
          <w:sz w:val="32"/>
          <w:szCs w:val="32"/>
        </w:rPr>
        <w:t>展望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/>
          <w:sz w:val="32"/>
          <w:szCs w:val="20"/>
        </w:rPr>
      </w:pPr>
      <w:r>
        <w:rPr>
          <w:rFonts w:hint="eastAsia" w:ascii="Times New Roman" w:hAnsi="Times New Roman" w:eastAsia="仿宋_GB2312"/>
          <w:sz w:val="32"/>
          <w:szCs w:val="32"/>
        </w:rPr>
        <w:t>围绕</w:t>
      </w:r>
      <w:r>
        <w:rPr>
          <w:rFonts w:ascii="Times New Roman" w:hAnsi="Times New Roman" w:eastAsia="仿宋_GB2312"/>
          <w:sz w:val="32"/>
          <w:szCs w:val="32"/>
        </w:rPr>
        <w:t>深化</w:t>
      </w:r>
      <w:r>
        <w:rPr>
          <w:rFonts w:hint="eastAsia" w:ascii="Times New Roman" w:hAnsi="Times New Roman" w:eastAsia="仿宋_GB2312"/>
          <w:sz w:val="32"/>
          <w:szCs w:val="32"/>
        </w:rPr>
        <w:t>推进</w:t>
      </w:r>
      <w:r>
        <w:rPr>
          <w:rFonts w:ascii="Times New Roman" w:hAnsi="Times New Roman" w:eastAsia="仿宋_GB2312"/>
          <w:sz w:val="32"/>
          <w:szCs w:val="32"/>
        </w:rPr>
        <w:t>示范工程</w:t>
      </w:r>
      <w:r>
        <w:rPr>
          <w:rFonts w:hint="eastAsia" w:ascii="Times New Roman" w:hAnsi="Times New Roman" w:eastAsia="仿宋_GB2312"/>
          <w:sz w:val="32"/>
          <w:szCs w:val="32"/>
        </w:rPr>
        <w:t>建设</w:t>
      </w:r>
      <w:r>
        <w:rPr>
          <w:rFonts w:ascii="Times New Roman" w:hAnsi="Times New Roman" w:eastAsia="仿宋_GB2312"/>
          <w:sz w:val="32"/>
          <w:szCs w:val="32"/>
        </w:rPr>
        <w:t>，进一步提升示范效应，提出推进城市绿色货运配送发展的后续工作计划。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0476B"/>
    <w:rsid w:val="0450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 w:val="0"/>
      <w:spacing w:after="120" w:afterLines="0"/>
      <w:ind w:firstLine="420" w:firstLineChars="100"/>
      <w:jc w:val="both"/>
    </w:pPr>
    <w:rPr>
      <w:rFonts w:ascii="Calibri" w:hAnsi="Calibri" w:eastAsia="仿宋_GB2312" w:cs="Times New Roman"/>
      <w:kern w:val="2"/>
      <w:sz w:val="32"/>
      <w:lang w:val="en-US" w:eastAsia="zh-CN"/>
    </w:rPr>
  </w:style>
  <w:style w:type="paragraph" w:styleId="3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2022-03-15T09:20:00Z</dcterms:created>
  <dc:creator>cici</dc:creator>
  <cp:lastModifiedBy>cici</cp:lastModifiedBy>
  <dcterms:modified xsi:type="dcterms:W3CDTF">2022-03-15T09:20:29Z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51810A758A374017A7ADDA5E7E0AC6AE</vt:lpwstr>
  </property>
</Properties>
</file>